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Script for chapter 5 exercise 57 audio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(https://drive.google.com/file/d/1QwmY8lRAolUe1b1_JjsAx3VweRVDhC6T/view?usp=sharing)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Alex: ¿Has tenido una experiencia con la discriminación?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Laura: Sí. Una vez cuando yo tenía once años, en la escuela una maestra me dijo “no puedes hablar español aquí” y yo le dije “¿por qué?” y ella dijo “no sé si estás diciendo cosas malas.”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Alex: ¿Y cómo te sentistes?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Laura: En ese tiempo, yo estaba muy confundida, pero fue hace un año que me di cuenta que eso fue un acto de discriminación. ¿Te ha pasado algo similar a ti?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Alex: Sí, cuando tenía como diecisiete años, yo y mis tres amigos–todos somos mexicanos–fuimos a una tienda. Y como era después de la escuela, teníamos mochilas. Y cuando salimos de la tienda, no nos dejaban salir porque querían revisar nuestras mochilas para ver si robamos algo.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Laura: ¿Eso pasó en Portland?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Alex: Sí. Claro, era en una vecindad donde hay muchas personas ricas y blancas.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Laura: ¿Y cómo te hizo sentir?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Alex: Me sentí confundido porque no robé nada, y pienso que sí era por el color de mi piel.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